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C98C" w14:textId="42E34D30" w:rsidR="005D5F69" w:rsidRDefault="005D5F69" w:rsidP="005D5F69">
      <w:pPr>
        <w:ind w:right="-359"/>
        <w:jc w:val="right"/>
      </w:pPr>
      <w:r>
        <w:t xml:space="preserve">Haldusasi nr </w:t>
      </w:r>
      <w:r w:rsidRPr="00735BB9">
        <w:t>3-</w:t>
      </w:r>
      <w:r w:rsidR="00EF48F9">
        <w:t>2</w:t>
      </w:r>
      <w:r w:rsidR="00BA7E0A">
        <w:t>4</w:t>
      </w:r>
      <w:r>
        <w:t>-</w:t>
      </w:r>
      <w:r w:rsidR="00F60002">
        <w:t>1917</w:t>
      </w:r>
    </w:p>
    <w:p w14:paraId="3532AC98" w14:textId="77777777" w:rsidR="005D5F69" w:rsidRPr="00C378AA" w:rsidRDefault="005D5F69" w:rsidP="005D5F69">
      <w:pPr>
        <w:jc w:val="right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67B828" wp14:editId="3C10A0C9">
            <wp:simplePos x="0" y="0"/>
            <wp:positionH relativeFrom="column">
              <wp:posOffset>2505075</wp:posOffset>
            </wp:positionH>
            <wp:positionV relativeFrom="paragraph">
              <wp:posOffset>5715</wp:posOffset>
            </wp:positionV>
            <wp:extent cx="742950" cy="819150"/>
            <wp:effectExtent l="0" t="0" r="0" b="0"/>
            <wp:wrapSquare wrapText="left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A36">
        <w:rPr>
          <w:b/>
          <w:noProof/>
        </w:rPr>
        <w:br w:type="textWrapping" w:clear="all"/>
      </w:r>
    </w:p>
    <w:p w14:paraId="7414078D" w14:textId="77777777" w:rsidR="005D5F69" w:rsidRDefault="005D5F69" w:rsidP="005D5F69">
      <w:pPr>
        <w:pStyle w:val="Pis"/>
        <w:tabs>
          <w:tab w:val="center" w:pos="4320"/>
          <w:tab w:val="center" w:pos="4394"/>
          <w:tab w:val="right" w:pos="9720"/>
        </w:tabs>
        <w:jc w:val="center"/>
        <w:rPr>
          <w:noProof/>
          <w:spacing w:val="70"/>
          <w:sz w:val="44"/>
          <w:szCs w:val="44"/>
        </w:rPr>
      </w:pPr>
      <w:r>
        <w:rPr>
          <w:noProof/>
          <w:spacing w:val="70"/>
          <w:sz w:val="44"/>
          <w:szCs w:val="44"/>
        </w:rPr>
        <w:t>KOHTU</w:t>
      </w:r>
      <w:r w:rsidRPr="00C378AA">
        <w:rPr>
          <w:noProof/>
          <w:spacing w:val="70"/>
          <w:sz w:val="44"/>
          <w:szCs w:val="44"/>
        </w:rPr>
        <w:t>MÄÄRUS</w:t>
      </w:r>
    </w:p>
    <w:p w14:paraId="3F729F3D" w14:textId="77777777" w:rsidR="005D5F69" w:rsidRPr="002073E1" w:rsidRDefault="005D5F69" w:rsidP="005D5F69">
      <w:pPr>
        <w:pStyle w:val="Pis"/>
        <w:tabs>
          <w:tab w:val="center" w:pos="4320"/>
          <w:tab w:val="center" w:pos="4394"/>
          <w:tab w:val="right" w:pos="9720"/>
        </w:tabs>
        <w:jc w:val="both"/>
        <w:rPr>
          <w:noProof/>
          <w:spacing w:val="70"/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528"/>
        <w:gridCol w:w="5970"/>
      </w:tblGrid>
      <w:tr w:rsidR="005D5F69" w:rsidRPr="00735BB9" w14:paraId="0DC607F0" w14:textId="77777777" w:rsidTr="00BB7D93">
        <w:tc>
          <w:tcPr>
            <w:tcW w:w="3528" w:type="dxa"/>
          </w:tcPr>
          <w:p w14:paraId="2B53BA1B" w14:textId="77777777" w:rsidR="005D5F69" w:rsidRPr="00735BB9" w:rsidRDefault="005D5F69" w:rsidP="00BB7D93">
            <w:pPr>
              <w:pStyle w:val="Pis"/>
              <w:spacing w:line="480" w:lineRule="auto"/>
              <w:rPr>
                <w:b/>
                <w:bCs/>
              </w:rPr>
            </w:pPr>
            <w:r w:rsidRPr="00735BB9">
              <w:rPr>
                <w:b/>
                <w:bCs/>
              </w:rPr>
              <w:t>Kohus</w:t>
            </w:r>
          </w:p>
        </w:tc>
        <w:tc>
          <w:tcPr>
            <w:tcW w:w="5970" w:type="dxa"/>
          </w:tcPr>
          <w:p w14:paraId="46177A92" w14:textId="77777777" w:rsidR="005D5F69" w:rsidRPr="00735BB9" w:rsidRDefault="005D5F69" w:rsidP="00BB7D93">
            <w:pPr>
              <w:spacing w:after="60"/>
            </w:pPr>
            <w:r w:rsidRPr="00735BB9">
              <w:t>Tallinna Halduskohus</w:t>
            </w:r>
          </w:p>
        </w:tc>
      </w:tr>
      <w:tr w:rsidR="005D5F69" w:rsidRPr="00735BB9" w14:paraId="24E1969E" w14:textId="77777777" w:rsidTr="00BB7D93">
        <w:tc>
          <w:tcPr>
            <w:tcW w:w="3528" w:type="dxa"/>
          </w:tcPr>
          <w:p w14:paraId="012B2DF3" w14:textId="77777777" w:rsidR="005D5F69" w:rsidRPr="00735BB9" w:rsidRDefault="005D5F69" w:rsidP="00BB7D93">
            <w:pPr>
              <w:pStyle w:val="Pis"/>
              <w:spacing w:line="480" w:lineRule="auto"/>
              <w:rPr>
                <w:b/>
                <w:bCs/>
              </w:rPr>
            </w:pPr>
            <w:r w:rsidRPr="00735BB9">
              <w:rPr>
                <w:b/>
                <w:bCs/>
              </w:rPr>
              <w:t>Kohtunik</w:t>
            </w:r>
          </w:p>
        </w:tc>
        <w:tc>
          <w:tcPr>
            <w:tcW w:w="5970" w:type="dxa"/>
          </w:tcPr>
          <w:p w14:paraId="708E79BF" w14:textId="77777777" w:rsidR="005D5F69" w:rsidRPr="00735BB9" w:rsidRDefault="005D5F69" w:rsidP="00BB7D93">
            <w:pPr>
              <w:spacing w:after="60"/>
            </w:pPr>
            <w:r>
              <w:t>Andreas Paukštys</w:t>
            </w:r>
          </w:p>
        </w:tc>
      </w:tr>
      <w:tr w:rsidR="005D5F69" w:rsidRPr="00735BB9" w14:paraId="06884357" w14:textId="77777777" w:rsidTr="00BB7D93">
        <w:tc>
          <w:tcPr>
            <w:tcW w:w="3528" w:type="dxa"/>
          </w:tcPr>
          <w:p w14:paraId="7D5BDE92" w14:textId="77777777" w:rsidR="005D5F69" w:rsidRPr="00735BB9" w:rsidRDefault="005D5F69" w:rsidP="00BB7D93">
            <w:pPr>
              <w:pStyle w:val="Pis"/>
              <w:spacing w:line="480" w:lineRule="auto"/>
              <w:rPr>
                <w:b/>
                <w:bCs/>
              </w:rPr>
            </w:pPr>
            <w:r w:rsidRPr="00735BB9">
              <w:rPr>
                <w:b/>
                <w:bCs/>
              </w:rPr>
              <w:t>Määruse tegemise aeg ja koht</w:t>
            </w:r>
          </w:p>
        </w:tc>
        <w:tc>
          <w:tcPr>
            <w:tcW w:w="5970" w:type="dxa"/>
          </w:tcPr>
          <w:p w14:paraId="48768990" w14:textId="3BB1BF5E" w:rsidR="005D5F69" w:rsidRPr="00735BB9" w:rsidRDefault="009A4F9E" w:rsidP="00C23FC0">
            <w:pPr>
              <w:spacing w:after="60"/>
            </w:pPr>
            <w:r>
              <w:t>10</w:t>
            </w:r>
            <w:r w:rsidR="005D5F69">
              <w:t>.</w:t>
            </w:r>
            <w:r w:rsidR="008A5F70">
              <w:t>0</w:t>
            </w:r>
            <w:r>
              <w:t>7</w:t>
            </w:r>
            <w:r w:rsidR="005D5F69">
              <w:t>.20</w:t>
            </w:r>
            <w:r w:rsidR="008A5F70">
              <w:t>2</w:t>
            </w:r>
            <w:r w:rsidR="0056568A">
              <w:t>4</w:t>
            </w:r>
            <w:r w:rsidR="005D5F69">
              <w:t>, Tallinn</w:t>
            </w:r>
          </w:p>
        </w:tc>
      </w:tr>
      <w:tr w:rsidR="005D5F69" w:rsidRPr="00735BB9" w14:paraId="24555F29" w14:textId="77777777" w:rsidTr="00BB7D93">
        <w:tc>
          <w:tcPr>
            <w:tcW w:w="3528" w:type="dxa"/>
          </w:tcPr>
          <w:p w14:paraId="348C14E8" w14:textId="77777777" w:rsidR="005D5F69" w:rsidRPr="00735BB9" w:rsidRDefault="005D5F69" w:rsidP="00BB7D93">
            <w:pPr>
              <w:pStyle w:val="Pis"/>
              <w:spacing w:line="480" w:lineRule="auto"/>
              <w:rPr>
                <w:b/>
                <w:bCs/>
              </w:rPr>
            </w:pPr>
            <w:r w:rsidRPr="00735BB9">
              <w:rPr>
                <w:b/>
                <w:bCs/>
              </w:rPr>
              <w:t>Haldusasja number</w:t>
            </w:r>
          </w:p>
        </w:tc>
        <w:tc>
          <w:tcPr>
            <w:tcW w:w="5970" w:type="dxa"/>
          </w:tcPr>
          <w:p w14:paraId="7D0AD9E0" w14:textId="338DAE20" w:rsidR="005D5F69" w:rsidRPr="00735BB9" w:rsidRDefault="005D5F69" w:rsidP="000236F2">
            <w:pPr>
              <w:tabs>
                <w:tab w:val="left" w:pos="1830"/>
              </w:tabs>
              <w:spacing w:after="60"/>
            </w:pPr>
            <w:r w:rsidRPr="00735BB9">
              <w:t>3-</w:t>
            </w:r>
            <w:r w:rsidR="00A35058">
              <w:t>2</w:t>
            </w:r>
            <w:r w:rsidR="0056568A">
              <w:t>4</w:t>
            </w:r>
            <w:r>
              <w:t>-</w:t>
            </w:r>
            <w:r w:rsidR="009A4F9E">
              <w:t>1917</w:t>
            </w:r>
            <w:r w:rsidRPr="00735BB9">
              <w:tab/>
            </w:r>
          </w:p>
        </w:tc>
      </w:tr>
      <w:tr w:rsidR="005D5F69" w:rsidRPr="00735BB9" w14:paraId="7974D890" w14:textId="77777777" w:rsidTr="007D1FD2">
        <w:trPr>
          <w:trHeight w:val="1060"/>
        </w:trPr>
        <w:tc>
          <w:tcPr>
            <w:tcW w:w="3528" w:type="dxa"/>
          </w:tcPr>
          <w:p w14:paraId="7A307A3D" w14:textId="77777777" w:rsidR="005D5F69" w:rsidRPr="00735BB9" w:rsidRDefault="005D5F69" w:rsidP="00BB7D93">
            <w:pPr>
              <w:pStyle w:val="Pis"/>
              <w:spacing w:line="480" w:lineRule="auto"/>
              <w:rPr>
                <w:b/>
                <w:bCs/>
              </w:rPr>
            </w:pPr>
            <w:r w:rsidRPr="00735BB9">
              <w:rPr>
                <w:b/>
                <w:bCs/>
              </w:rPr>
              <w:t>Haldusasi</w:t>
            </w:r>
          </w:p>
        </w:tc>
        <w:tc>
          <w:tcPr>
            <w:tcW w:w="5970" w:type="dxa"/>
          </w:tcPr>
          <w:p w14:paraId="30CE67E7" w14:textId="558FF01A" w:rsidR="005D5F69" w:rsidRDefault="00AF249F" w:rsidP="00615DE1">
            <w:pPr>
              <w:spacing w:after="60"/>
              <w:jc w:val="both"/>
            </w:pPr>
            <w:r>
              <w:t xml:space="preserve">MTÜ SOTSIAALNE KAASATUS </w:t>
            </w:r>
            <w:r w:rsidR="007D1FD2">
              <w:t>kaebus</w:t>
            </w:r>
            <w:r>
              <w:t xml:space="preserve"> </w:t>
            </w:r>
            <w:r>
              <w:t>Riigihangete vaidlustuskomisjoni</w:t>
            </w:r>
            <w:r>
              <w:t>le esitatud vaidlustuse eest riigilõivu</w:t>
            </w:r>
            <w:r>
              <w:t xml:space="preserve"> tagastamiseks</w:t>
            </w:r>
          </w:p>
        </w:tc>
      </w:tr>
      <w:tr w:rsidR="005D5F69" w:rsidRPr="00735BB9" w14:paraId="43FE5D8E" w14:textId="77777777" w:rsidTr="00BB7D93">
        <w:trPr>
          <w:trHeight w:val="433"/>
        </w:trPr>
        <w:tc>
          <w:tcPr>
            <w:tcW w:w="3528" w:type="dxa"/>
          </w:tcPr>
          <w:p w14:paraId="12A50FBD" w14:textId="77777777" w:rsidR="005D5F69" w:rsidRPr="00735BB9" w:rsidRDefault="005D5F69" w:rsidP="00BB7D93">
            <w:pPr>
              <w:pStyle w:val="Pis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Menetlustoiming</w:t>
            </w:r>
          </w:p>
        </w:tc>
        <w:tc>
          <w:tcPr>
            <w:tcW w:w="5970" w:type="dxa"/>
          </w:tcPr>
          <w:p w14:paraId="61599036" w14:textId="77777777" w:rsidR="005D5F69" w:rsidRPr="00735BB9" w:rsidRDefault="005D5F69" w:rsidP="00BB7D93">
            <w:pPr>
              <w:spacing w:after="60"/>
              <w:jc w:val="both"/>
            </w:pPr>
            <w:r>
              <w:t>Kaebuse tagastamine</w:t>
            </w:r>
          </w:p>
        </w:tc>
      </w:tr>
      <w:tr w:rsidR="005D5F69" w:rsidRPr="00735BB9" w14:paraId="118066ED" w14:textId="77777777" w:rsidTr="00906D83">
        <w:trPr>
          <w:trHeight w:val="587"/>
        </w:trPr>
        <w:tc>
          <w:tcPr>
            <w:tcW w:w="3528" w:type="dxa"/>
          </w:tcPr>
          <w:p w14:paraId="1057E6AF" w14:textId="77777777" w:rsidR="005D5F69" w:rsidRPr="00735BB9" w:rsidRDefault="005D5F69" w:rsidP="00BB7D93">
            <w:pPr>
              <w:pStyle w:val="Pis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RESOLUTSIOON</w:t>
            </w:r>
          </w:p>
        </w:tc>
        <w:tc>
          <w:tcPr>
            <w:tcW w:w="5970" w:type="dxa"/>
          </w:tcPr>
          <w:p w14:paraId="17396FBD" w14:textId="2ADD8B31" w:rsidR="005D5F69" w:rsidRPr="001F425C" w:rsidRDefault="005D5F69" w:rsidP="00346843">
            <w:pPr>
              <w:spacing w:after="120"/>
              <w:jc w:val="both"/>
              <w:rPr>
                <w:b/>
                <w:szCs w:val="20"/>
              </w:rPr>
            </w:pPr>
            <w:r w:rsidRPr="00545730">
              <w:rPr>
                <w:b/>
                <w:bCs/>
                <w:noProof/>
              </w:rPr>
              <w:t xml:space="preserve">Tagastada </w:t>
            </w:r>
            <w:r w:rsidRPr="001F425C">
              <w:rPr>
                <w:b/>
                <w:bCs/>
                <w:noProof/>
              </w:rPr>
              <w:t>kaebus</w:t>
            </w:r>
            <w:r w:rsidRPr="008A727C">
              <w:rPr>
                <w:b/>
                <w:bCs/>
                <w:noProof/>
              </w:rPr>
              <w:t xml:space="preserve"> </w:t>
            </w:r>
            <w:r w:rsidR="00744478" w:rsidRPr="003A01DE">
              <w:rPr>
                <w:b/>
                <w:bCs/>
              </w:rPr>
              <w:t>MTÜ</w:t>
            </w:r>
            <w:r w:rsidR="00744478" w:rsidRPr="003A01DE">
              <w:rPr>
                <w:b/>
                <w:bCs/>
              </w:rPr>
              <w:t>-le</w:t>
            </w:r>
            <w:r w:rsidR="00744478" w:rsidRPr="003A01DE">
              <w:rPr>
                <w:b/>
                <w:bCs/>
              </w:rPr>
              <w:t xml:space="preserve"> SOTSIAALNE KAASATUS</w:t>
            </w:r>
            <w:r w:rsidRPr="003A01DE">
              <w:rPr>
                <w:b/>
                <w:bCs/>
                <w:noProof/>
              </w:rPr>
              <w:t>.</w:t>
            </w:r>
          </w:p>
        </w:tc>
      </w:tr>
      <w:tr w:rsidR="005D5F69" w:rsidRPr="00735BB9" w14:paraId="6E04F697" w14:textId="77777777" w:rsidTr="00BB7D93">
        <w:trPr>
          <w:trHeight w:val="1016"/>
        </w:trPr>
        <w:tc>
          <w:tcPr>
            <w:tcW w:w="3528" w:type="dxa"/>
          </w:tcPr>
          <w:p w14:paraId="05F94D98" w14:textId="77777777" w:rsidR="005D5F69" w:rsidRPr="00735BB9" w:rsidRDefault="005D5F69" w:rsidP="00BB7D93">
            <w:pPr>
              <w:pStyle w:val="Pis"/>
              <w:spacing w:line="480" w:lineRule="auto"/>
              <w:rPr>
                <w:b/>
                <w:bCs/>
              </w:rPr>
            </w:pPr>
            <w:r w:rsidRPr="00735BB9">
              <w:rPr>
                <w:b/>
                <w:bCs/>
              </w:rPr>
              <w:t>Edasikaebamise kord</w:t>
            </w:r>
          </w:p>
        </w:tc>
        <w:tc>
          <w:tcPr>
            <w:tcW w:w="5970" w:type="dxa"/>
          </w:tcPr>
          <w:p w14:paraId="48227C3C" w14:textId="77777777" w:rsidR="005D5F69" w:rsidRPr="00C378AA" w:rsidRDefault="005D5F69" w:rsidP="00A67FB1">
            <w:pPr>
              <w:jc w:val="both"/>
              <w:rPr>
                <w:b/>
              </w:rPr>
            </w:pPr>
            <w:r>
              <w:rPr>
                <w:noProof/>
              </w:rPr>
              <w:t>Määruse peale võib esitada määruskaebuse Tallinna Ringkonnakohtule 15 päeva jooksul määruse kätte</w:t>
            </w:r>
            <w:r w:rsidR="00A67FB1">
              <w:rPr>
                <w:noProof/>
              </w:rPr>
              <w:t>toimetamisest</w:t>
            </w:r>
            <w:r>
              <w:rPr>
                <w:noProof/>
              </w:rPr>
              <w:t xml:space="preserve"> arvates.</w:t>
            </w:r>
          </w:p>
        </w:tc>
      </w:tr>
    </w:tbl>
    <w:p w14:paraId="4F74F52B" w14:textId="77777777" w:rsidR="005D5F69" w:rsidRPr="00222689" w:rsidRDefault="005D5F69" w:rsidP="005D5F69">
      <w:pPr>
        <w:jc w:val="both"/>
      </w:pPr>
    </w:p>
    <w:p w14:paraId="54EE4544" w14:textId="77777777" w:rsidR="005D5F69" w:rsidRDefault="005D5F69" w:rsidP="005D5F69">
      <w:pPr>
        <w:ind w:right="-543"/>
        <w:jc w:val="both"/>
        <w:rPr>
          <w:b/>
        </w:rPr>
      </w:pPr>
      <w:r>
        <w:rPr>
          <w:b/>
        </w:rPr>
        <w:t>ASJAOLUD</w:t>
      </w:r>
      <w:r w:rsidR="007D6A85">
        <w:rPr>
          <w:b/>
        </w:rPr>
        <w:t>,</w:t>
      </w:r>
      <w:r>
        <w:rPr>
          <w:b/>
        </w:rPr>
        <w:t xml:space="preserve"> KOHTU SEISUKOHT JA PÕHJENDUSED</w:t>
      </w:r>
    </w:p>
    <w:p w14:paraId="53E428F4" w14:textId="77777777" w:rsidR="005D5F69" w:rsidRDefault="005D5F69" w:rsidP="005D5F69">
      <w:pPr>
        <w:tabs>
          <w:tab w:val="center" w:pos="4536"/>
        </w:tabs>
        <w:ind w:right="-200"/>
        <w:jc w:val="both"/>
        <w:rPr>
          <w:b/>
          <w:szCs w:val="20"/>
          <w:lang w:eastAsia="en-US"/>
        </w:rPr>
      </w:pPr>
    </w:p>
    <w:p w14:paraId="7303FE04" w14:textId="55D62C4F" w:rsidR="005D5F69" w:rsidRDefault="005D5F69" w:rsidP="00B77705">
      <w:pPr>
        <w:ind w:right="-359"/>
        <w:jc w:val="both"/>
      </w:pPr>
      <w:r w:rsidRPr="00DE30AA">
        <w:rPr>
          <w:b/>
          <w:szCs w:val="20"/>
          <w:lang w:eastAsia="en-US"/>
        </w:rPr>
        <w:t>1.</w:t>
      </w:r>
      <w:r w:rsidRPr="00DE30AA">
        <w:rPr>
          <w:szCs w:val="20"/>
          <w:lang w:eastAsia="en-US"/>
        </w:rPr>
        <w:t xml:space="preserve"> </w:t>
      </w:r>
      <w:r w:rsidR="00B77705">
        <w:t xml:space="preserve">MTÜ SOTSIAALNE KAASATUS </w:t>
      </w:r>
      <w:r w:rsidR="00B77705">
        <w:t xml:space="preserve">esitas 28.06.2024 Tallinna Halduskohtule </w:t>
      </w:r>
      <w:r w:rsidR="00B77705">
        <w:t>kaebus</w:t>
      </w:r>
      <w:r w:rsidR="00B77705">
        <w:t>e</w:t>
      </w:r>
      <w:r w:rsidR="00B77705">
        <w:t xml:space="preserve"> Riigihangete vaidlustuskomisjonile </w:t>
      </w:r>
      <w:r w:rsidR="00E5133C">
        <w:t xml:space="preserve">(VAKO) </w:t>
      </w:r>
      <w:r w:rsidR="00B77705">
        <w:t>esitatud vaidlustuse eest riigilõivu tagastamiseks</w:t>
      </w:r>
      <w:r w:rsidR="00B77705">
        <w:t xml:space="preserve">. </w:t>
      </w:r>
    </w:p>
    <w:p w14:paraId="7B34D670" w14:textId="77777777" w:rsidR="005D5F69" w:rsidRDefault="005D5F69" w:rsidP="005D5F69">
      <w:pPr>
        <w:ind w:right="-484"/>
        <w:jc w:val="both"/>
      </w:pPr>
    </w:p>
    <w:p w14:paraId="3513719C" w14:textId="6E9569C6" w:rsidR="005D5F69" w:rsidRPr="006438C5" w:rsidRDefault="005D5F69" w:rsidP="00405676">
      <w:pPr>
        <w:suppressAutoHyphens/>
        <w:ind w:right="-359"/>
        <w:jc w:val="both"/>
      </w:pPr>
      <w:r>
        <w:rPr>
          <w:b/>
          <w:lang w:eastAsia="zh-CN"/>
        </w:rPr>
        <w:t>2</w:t>
      </w:r>
      <w:r w:rsidRPr="002C4AD1">
        <w:rPr>
          <w:b/>
          <w:lang w:eastAsia="zh-CN"/>
        </w:rPr>
        <w:t>.</w:t>
      </w:r>
      <w:r>
        <w:rPr>
          <w:lang w:eastAsia="zh-CN"/>
        </w:rPr>
        <w:t xml:space="preserve"> </w:t>
      </w:r>
      <w:r w:rsidR="00EA4306">
        <w:t xml:space="preserve">Kohus, kontrollinud halduskohtumenetluse seadustiku (HKMS) § 120 lg 1 p-st 8 juhindudes kaebuse nõuetekohasust, leiab, et kaebus tuleb tagastada </w:t>
      </w:r>
      <w:r w:rsidR="00EA4306">
        <w:rPr>
          <w:bCs/>
        </w:rPr>
        <w:t>HKMS § 121 lg 1 p 1 alusel vaidluse halduskohtu pädevusse mittekuulumise tõttu.</w:t>
      </w:r>
      <w:r w:rsidR="00EA4306">
        <w:rPr>
          <w:lang w:eastAsia="zh-CN"/>
        </w:rPr>
        <w:t xml:space="preserve"> </w:t>
      </w:r>
      <w:r w:rsidR="00727645" w:rsidRPr="006438C5">
        <w:rPr>
          <w:lang w:eastAsia="zh-CN"/>
        </w:rPr>
        <w:t>HKMS</w:t>
      </w:r>
      <w:r w:rsidR="00727645" w:rsidRPr="00727645">
        <w:rPr>
          <w:lang w:eastAsia="zh-CN"/>
        </w:rPr>
        <w:t xml:space="preserve"> </w:t>
      </w:r>
      <w:r w:rsidR="00727645" w:rsidRPr="006438C5">
        <w:rPr>
          <w:lang w:eastAsia="zh-CN"/>
        </w:rPr>
        <w:t xml:space="preserve">§ 4 lg 1 kohaselt on halduskohtu pädevuses avalik-õiguslikus suhtes tekkinud vaidluste lahendamine, kui seadus ei näe </w:t>
      </w:r>
      <w:r w:rsidR="00727645">
        <w:rPr>
          <w:lang w:eastAsia="zh-CN"/>
        </w:rPr>
        <w:t xml:space="preserve">ette teistsugust menetluskorda. </w:t>
      </w:r>
      <w:proofErr w:type="spellStart"/>
      <w:r w:rsidR="00405676">
        <w:t>VAKO-le</w:t>
      </w:r>
      <w:proofErr w:type="spellEnd"/>
      <w:r w:rsidR="00405676">
        <w:t xml:space="preserve"> </w:t>
      </w:r>
      <w:r w:rsidR="00E5133C">
        <w:t>esitatud vaidlustuse eest riigilõivu tagastamiseks</w:t>
      </w:r>
      <w:r w:rsidR="00E5133C">
        <w:t xml:space="preserve"> tuleb esitada taotlus </w:t>
      </w:r>
      <w:proofErr w:type="spellStart"/>
      <w:r w:rsidR="00405676">
        <w:t>VAKO-le</w:t>
      </w:r>
      <w:proofErr w:type="spellEnd"/>
      <w:r w:rsidR="00405676">
        <w:t xml:space="preserve">. </w:t>
      </w:r>
    </w:p>
    <w:p w14:paraId="45FA4F4E" w14:textId="77777777" w:rsidR="005D5F69" w:rsidRDefault="005D5F69" w:rsidP="005D5F69">
      <w:pPr>
        <w:ind w:right="-543"/>
        <w:jc w:val="both"/>
        <w:rPr>
          <w:b/>
        </w:rPr>
      </w:pPr>
    </w:p>
    <w:p w14:paraId="5689C13F" w14:textId="77777777" w:rsidR="008F2ED8" w:rsidRDefault="008F2ED8" w:rsidP="005D5F69">
      <w:pPr>
        <w:ind w:right="-543"/>
        <w:jc w:val="both"/>
        <w:rPr>
          <w:b/>
        </w:rPr>
      </w:pPr>
    </w:p>
    <w:p w14:paraId="27E88E40" w14:textId="77777777" w:rsidR="005D5F69" w:rsidRPr="00AD6F21" w:rsidRDefault="005D5F69" w:rsidP="005D5F69">
      <w:pPr>
        <w:ind w:right="-903"/>
        <w:jc w:val="both"/>
        <w:rPr>
          <w:i/>
        </w:rPr>
      </w:pPr>
      <w:r w:rsidRPr="00AD6F21">
        <w:rPr>
          <w:i/>
        </w:rPr>
        <w:t>/allkirjastatud digitaalselt/</w:t>
      </w:r>
    </w:p>
    <w:p w14:paraId="66DB841A" w14:textId="326C2F37" w:rsidR="00672FAB" w:rsidRDefault="005D5F69" w:rsidP="00F76353">
      <w:pPr>
        <w:ind w:right="-903"/>
        <w:jc w:val="both"/>
      </w:pPr>
      <w:r>
        <w:t>Andreas Paukštys</w:t>
      </w:r>
    </w:p>
    <w:sectPr w:rsidR="00672FAB" w:rsidSect="00BF2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69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A46A" w14:textId="77777777" w:rsidR="008A67C1" w:rsidRDefault="00C93505">
      <w:r>
        <w:separator/>
      </w:r>
    </w:p>
  </w:endnote>
  <w:endnote w:type="continuationSeparator" w:id="0">
    <w:p w14:paraId="577F7631" w14:textId="77777777" w:rsidR="008A67C1" w:rsidRDefault="00C9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F5B7" w14:textId="77777777" w:rsidR="00CB30B9" w:rsidRDefault="00CB30B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6C5C" w14:textId="77777777" w:rsidR="00CB30B9" w:rsidRDefault="00CB30B9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D09B" w14:textId="77777777" w:rsidR="00CB30B9" w:rsidRDefault="00CB30B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1915" w14:textId="77777777" w:rsidR="008A67C1" w:rsidRDefault="00C93505">
      <w:r>
        <w:separator/>
      </w:r>
    </w:p>
  </w:footnote>
  <w:footnote w:type="continuationSeparator" w:id="0">
    <w:p w14:paraId="3096BB48" w14:textId="77777777" w:rsidR="008A67C1" w:rsidRDefault="00C9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B82D" w14:textId="59533A8D" w:rsidR="007E2BC6" w:rsidRDefault="003B7913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BF2EA7"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1E957D87" w14:textId="77777777" w:rsidR="007E2BC6" w:rsidRDefault="007E2BC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2B319" w14:textId="77777777" w:rsidR="00CB30B9" w:rsidRDefault="00CB30B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1D24" w14:textId="77777777" w:rsidR="00CB30B9" w:rsidRDefault="00CB30B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69"/>
    <w:rsid w:val="00000131"/>
    <w:rsid w:val="00017F8D"/>
    <w:rsid w:val="000236F2"/>
    <w:rsid w:val="000428EB"/>
    <w:rsid w:val="00052279"/>
    <w:rsid w:val="00092FC7"/>
    <w:rsid w:val="000E44BB"/>
    <w:rsid w:val="000F058B"/>
    <w:rsid w:val="000F6DD1"/>
    <w:rsid w:val="00133E16"/>
    <w:rsid w:val="00183D8A"/>
    <w:rsid w:val="00194858"/>
    <w:rsid w:val="001D1ACF"/>
    <w:rsid w:val="001F206C"/>
    <w:rsid w:val="00227D42"/>
    <w:rsid w:val="00267C39"/>
    <w:rsid w:val="002B4614"/>
    <w:rsid w:val="002C1FDD"/>
    <w:rsid w:val="002C2A4E"/>
    <w:rsid w:val="002F1C6B"/>
    <w:rsid w:val="0032648D"/>
    <w:rsid w:val="00346843"/>
    <w:rsid w:val="00365F76"/>
    <w:rsid w:val="00372EB4"/>
    <w:rsid w:val="003765EE"/>
    <w:rsid w:val="00384EC2"/>
    <w:rsid w:val="003A01DE"/>
    <w:rsid w:val="003B7913"/>
    <w:rsid w:val="00405676"/>
    <w:rsid w:val="004534E1"/>
    <w:rsid w:val="004E61E8"/>
    <w:rsid w:val="00505CF5"/>
    <w:rsid w:val="00520BC5"/>
    <w:rsid w:val="0056568A"/>
    <w:rsid w:val="005708FB"/>
    <w:rsid w:val="005B6284"/>
    <w:rsid w:val="005D5F69"/>
    <w:rsid w:val="00615DE1"/>
    <w:rsid w:val="006629CA"/>
    <w:rsid w:val="00672FAB"/>
    <w:rsid w:val="0069657F"/>
    <w:rsid w:val="00727645"/>
    <w:rsid w:val="00744478"/>
    <w:rsid w:val="007D1FD2"/>
    <w:rsid w:val="007D6A85"/>
    <w:rsid w:val="007E2BC6"/>
    <w:rsid w:val="007E78EF"/>
    <w:rsid w:val="008003CE"/>
    <w:rsid w:val="00812E01"/>
    <w:rsid w:val="008463AE"/>
    <w:rsid w:val="0086189F"/>
    <w:rsid w:val="008866C1"/>
    <w:rsid w:val="008A5F70"/>
    <w:rsid w:val="008A67C1"/>
    <w:rsid w:val="008A727C"/>
    <w:rsid w:val="008C7854"/>
    <w:rsid w:val="008F0291"/>
    <w:rsid w:val="008F2ED8"/>
    <w:rsid w:val="00906D83"/>
    <w:rsid w:val="009115AF"/>
    <w:rsid w:val="00967779"/>
    <w:rsid w:val="009900A0"/>
    <w:rsid w:val="009A4F9E"/>
    <w:rsid w:val="00A043E4"/>
    <w:rsid w:val="00A35058"/>
    <w:rsid w:val="00A41F44"/>
    <w:rsid w:val="00A67FB1"/>
    <w:rsid w:val="00A860AC"/>
    <w:rsid w:val="00A92594"/>
    <w:rsid w:val="00AA277F"/>
    <w:rsid w:val="00AD4E2F"/>
    <w:rsid w:val="00AF249F"/>
    <w:rsid w:val="00B535E7"/>
    <w:rsid w:val="00B7261C"/>
    <w:rsid w:val="00B73EAD"/>
    <w:rsid w:val="00B76C41"/>
    <w:rsid w:val="00B77705"/>
    <w:rsid w:val="00BA7E0A"/>
    <w:rsid w:val="00BE5FC4"/>
    <w:rsid w:val="00BE6743"/>
    <w:rsid w:val="00BF2EA7"/>
    <w:rsid w:val="00C23FC0"/>
    <w:rsid w:val="00C72CEE"/>
    <w:rsid w:val="00C93505"/>
    <w:rsid w:val="00CB07A2"/>
    <w:rsid w:val="00CB30B9"/>
    <w:rsid w:val="00CB7AFF"/>
    <w:rsid w:val="00D14A27"/>
    <w:rsid w:val="00D777CD"/>
    <w:rsid w:val="00D813A3"/>
    <w:rsid w:val="00D86D52"/>
    <w:rsid w:val="00DC64C6"/>
    <w:rsid w:val="00DC6C44"/>
    <w:rsid w:val="00DD241B"/>
    <w:rsid w:val="00DD3CBC"/>
    <w:rsid w:val="00E104B5"/>
    <w:rsid w:val="00E22418"/>
    <w:rsid w:val="00E31400"/>
    <w:rsid w:val="00E338F9"/>
    <w:rsid w:val="00E5133C"/>
    <w:rsid w:val="00E52A32"/>
    <w:rsid w:val="00E65128"/>
    <w:rsid w:val="00EA4306"/>
    <w:rsid w:val="00EA4F6F"/>
    <w:rsid w:val="00EC02E0"/>
    <w:rsid w:val="00EF48F9"/>
    <w:rsid w:val="00EF6F4C"/>
    <w:rsid w:val="00F00BE3"/>
    <w:rsid w:val="00F12E8B"/>
    <w:rsid w:val="00F31F26"/>
    <w:rsid w:val="00F379CA"/>
    <w:rsid w:val="00F548A1"/>
    <w:rsid w:val="00F60002"/>
    <w:rsid w:val="00F76353"/>
    <w:rsid w:val="00F83A4C"/>
    <w:rsid w:val="00FB4298"/>
    <w:rsid w:val="00FD72EA"/>
    <w:rsid w:val="00FF3271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826C1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5D5F69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5D5F6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5D5F69"/>
    <w:rPr>
      <w:sz w:val="24"/>
      <w:szCs w:val="24"/>
    </w:rPr>
  </w:style>
  <w:style w:type="character" w:styleId="Lehekljenumber">
    <w:name w:val="page number"/>
    <w:basedOn w:val="Liguvaikefont"/>
    <w:rsid w:val="005D5F69"/>
  </w:style>
  <w:style w:type="paragraph" w:styleId="Jutumullitekst">
    <w:name w:val="Balloon Text"/>
    <w:basedOn w:val="Normaallaad"/>
    <w:link w:val="JutumullitekstMrk"/>
    <w:rsid w:val="00505CF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505CF5"/>
    <w:rPr>
      <w:rFonts w:ascii="Segoe UI" w:hAnsi="Segoe UI" w:cs="Segoe UI"/>
      <w:sz w:val="18"/>
      <w:szCs w:val="18"/>
    </w:rPr>
  </w:style>
  <w:style w:type="paragraph" w:styleId="Jalus">
    <w:name w:val="footer"/>
    <w:basedOn w:val="Normaallaad"/>
    <w:link w:val="JalusMrk"/>
    <w:rsid w:val="00CB30B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CB30B9"/>
    <w:rPr>
      <w:sz w:val="24"/>
      <w:szCs w:val="24"/>
    </w:rPr>
  </w:style>
  <w:style w:type="paragraph" w:styleId="Normaallaadveeb">
    <w:name w:val="Normal (Web)"/>
    <w:basedOn w:val="Normaallaad"/>
    <w:uiPriority w:val="99"/>
    <w:unhideWhenUsed/>
    <w:rsid w:val="00FF5C10"/>
    <w:pPr>
      <w:spacing w:before="100" w:beforeAutospacing="1" w:after="100" w:afterAutospacing="1"/>
    </w:pPr>
  </w:style>
  <w:style w:type="character" w:styleId="Hperlink">
    <w:name w:val="Hyperlink"/>
    <w:basedOn w:val="Liguvaikefont"/>
    <w:uiPriority w:val="99"/>
    <w:unhideWhenUsed/>
    <w:rsid w:val="00FF5C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2024-07-10T07:59:00Z</dcterms:created>
  <dcterms:modified xsi:type="dcterms:W3CDTF">2024-07-10T07:59:00Z</dcterms:modified>
</cp:coreProperties>
</file>